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jc w:val="left"/>
        <w:rPr>
          <w:rFonts w:ascii="Times New Roman"/>
          <w:sz w:val="28"/>
        </w:rPr>
      </w:pPr>
    </w:p>
    <w:p>
      <w:pPr>
        <w:pStyle w:val="Title"/>
        <w:spacing w:line="235" w:lineRule="auto"/>
        <w:rPr>
          <w:rFonts w:ascii="Calibri"/>
          <w:i/>
          <w:sz w:val="20"/>
        </w:rPr>
      </w:pPr>
      <w:r>
        <w:rPr>
          <w:w w:val="105"/>
        </w:rPr>
        <w:t>Risk Assessment of an Obstacle Detection </w:t>
      </w:r>
      <w:r>
        <w:rPr>
          <w:w w:val="105"/>
        </w:rPr>
        <w:t>System for</w:t>
      </w:r>
      <w:r>
        <w:rPr>
          <w:w w:val="105"/>
        </w:rPr>
        <w:t> GoA</w:t>
      </w:r>
      <w:r>
        <w:rPr>
          <w:w w:val="105"/>
        </w:rPr>
        <w:t> 4</w:t>
      </w:r>
      <w:r>
        <w:rPr>
          <w:w w:val="105"/>
        </w:rPr>
        <w:t> Freight Trains</w:t>
      </w:r>
      <w:r>
        <w:rPr>
          <w:rFonts w:ascii="Calibri"/>
          <w:i/>
          <w:w w:val="105"/>
          <w:position w:val="10"/>
          <w:sz w:val="20"/>
        </w:rPr>
        <w:t>*</w:t>
      </w:r>
    </w:p>
    <w:p>
      <w:pPr>
        <w:pStyle w:val="BodyText"/>
        <w:spacing w:before="1"/>
        <w:jc w:val="left"/>
        <w:rPr>
          <w:rFonts w:ascii="Calibri"/>
          <w:b/>
          <w:i/>
          <w:sz w:val="35"/>
        </w:rPr>
      </w:pPr>
    </w:p>
    <w:p>
      <w:pPr>
        <w:pStyle w:val="BodyText"/>
        <w:ind w:left="1056" w:right="989"/>
        <w:jc w:val="center"/>
      </w:pPr>
      <w:r>
        <w:rPr>
          <w:w w:val="105"/>
        </w:rPr>
        <w:t>Jan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Peleska</w:t>
      </w:r>
    </w:p>
    <w:p>
      <w:pPr>
        <w:spacing w:line="230" w:lineRule="auto" w:before="195"/>
        <w:ind w:left="1059" w:right="989" w:firstLine="0"/>
        <w:jc w:val="center"/>
        <w:rPr>
          <w:rFonts w:ascii="Century"/>
          <w:sz w:val="18"/>
        </w:rPr>
      </w:pPr>
      <w:r>
        <w:rPr>
          <w:sz w:val="18"/>
        </w:rPr>
        <w:t>University of Bremen, Department of Mathematics and Computer Science, Bibliothekstrasse 1, 28359 Bremen, Germany </w:t>
      </w:r>
      <w:hyperlink r:id="rId5">
        <w:r>
          <w:rPr>
            <w:rFonts w:ascii="Century"/>
            <w:sz w:val="18"/>
          </w:rPr>
          <w:t>peleska@uni-bremen.de</w:t>
        </w:r>
      </w:hyperlink>
    </w:p>
    <w:p>
      <w:pPr>
        <w:pStyle w:val="BodyText"/>
        <w:jc w:val="left"/>
        <w:rPr>
          <w:rFonts w:ascii="Century"/>
          <w:sz w:val="22"/>
        </w:rPr>
      </w:pPr>
    </w:p>
    <w:p>
      <w:pPr>
        <w:pStyle w:val="BodyText"/>
        <w:spacing w:line="230" w:lineRule="auto" w:before="175"/>
        <w:ind w:left="975" w:right="905"/>
      </w:pPr>
      <w:r>
        <w:rPr>
          <w:b/>
        </w:rPr>
        <w:t>Keywords: </w:t>
      </w:r>
      <w:r>
        <w:rPr/>
        <w:t>Convolutional neural networks </w:t>
      </w:r>
      <w:r>
        <w:rPr>
          <w:rFonts w:ascii="Arial Narrow" w:hAnsi="Arial Narrow"/>
          <w:i/>
        </w:rPr>
        <w:t>· </w:t>
      </w:r>
      <w:r>
        <w:rPr/>
        <w:t>Classification clusters </w:t>
      </w:r>
      <w:r>
        <w:rPr>
          <w:rFonts w:ascii="Arial Narrow" w:hAnsi="Arial Narrow"/>
          <w:i/>
        </w:rPr>
        <w:t>· </w:t>
      </w:r>
      <w:r>
        <w:rPr/>
        <w:t>Coupon Collector’s Problem </w:t>
      </w:r>
      <w:r>
        <w:rPr>
          <w:rFonts w:ascii="Arial Narrow" w:hAnsi="Arial Narrow"/>
          <w:i/>
        </w:rPr>
        <w:t>· </w:t>
      </w:r>
      <w:r>
        <w:rPr/>
        <w:t>Residual error probability</w:t>
      </w:r>
    </w:p>
    <w:p>
      <w:pPr>
        <w:pStyle w:val="BodyText"/>
        <w:spacing w:before="6"/>
        <w:jc w:val="left"/>
        <w:rPr>
          <w:sz w:val="28"/>
        </w:rPr>
      </w:pPr>
    </w:p>
    <w:p>
      <w:pPr>
        <w:spacing w:before="0"/>
        <w:ind w:left="975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Extended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Abstract</w:t>
      </w:r>
    </w:p>
    <w:p>
      <w:pPr>
        <w:pStyle w:val="BodyText"/>
        <w:spacing w:line="230" w:lineRule="auto" w:before="226"/>
        <w:ind w:left="975" w:right="904"/>
      </w:pPr>
      <w:r>
        <w:rPr/>
        <w:t>In this presentation, we describe a novel method to assess the residual error </w:t>
      </w:r>
      <w:r>
        <w:rPr>
          <w:spacing w:val="-2"/>
        </w:rPr>
        <w:t>probability of convolutional neural networks (CNN) used for classification pur- </w:t>
      </w:r>
      <w:r>
        <w:rPr/>
        <w:t>poses in a safety-critical context. Our main application target is the utilisation of CNN in sensor fusion systems used for obstacle detection in future freight trains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of automation</w:t>
      </w:r>
      <w:r>
        <w:rPr>
          <w:spacing w:val="-1"/>
        </w:rPr>
        <w:t> </w:t>
      </w:r>
      <w:r>
        <w:rPr/>
        <w:t>GoA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each sub-component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sensor </w:t>
      </w:r>
      <w:r>
        <w:rPr>
          <w:spacing w:val="-2"/>
        </w:rPr>
        <w:t>fusion,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trustworthy</w:t>
      </w:r>
      <w:r>
        <w:rPr>
          <w:spacing w:val="-10"/>
        </w:rPr>
        <w:t> </w:t>
      </w:r>
      <w:r>
        <w:rPr>
          <w:spacing w:val="-2"/>
        </w:rPr>
        <w:t>estimate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residual</w:t>
      </w:r>
      <w:r>
        <w:rPr>
          <w:spacing w:val="-9"/>
        </w:rPr>
        <w:t> </w:t>
      </w:r>
      <w:r>
        <w:rPr>
          <w:spacing w:val="-2"/>
        </w:rPr>
        <w:t>failure</w:t>
      </w:r>
      <w:r>
        <w:rPr>
          <w:spacing w:val="-9"/>
        </w:rPr>
        <w:t> </w:t>
      </w:r>
      <w:r>
        <w:rPr>
          <w:spacing w:val="-2"/>
        </w:rPr>
        <w:t>probability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required.</w:t>
      </w:r>
      <w:r>
        <w:rPr>
          <w:spacing w:val="-9"/>
        </w:rPr>
        <w:t> </w:t>
      </w:r>
      <w:r>
        <w:rPr>
          <w:spacing w:val="-2"/>
        </w:rPr>
        <w:t>For </w:t>
      </w:r>
      <w:r>
        <w:rPr/>
        <w:t>a CNN this means that an upper bound for its safety-critical misclassification probability</w:t>
      </w:r>
      <w:r>
        <w:rPr>
          <w:spacing w:val="-11"/>
        </w:rPr>
        <w:t> </w:t>
      </w:r>
      <w:r>
        <w:rPr/>
        <w:t>(CNN</w:t>
      </w:r>
      <w:r>
        <w:rPr>
          <w:spacing w:val="-11"/>
        </w:rPr>
        <w:t> </w:t>
      </w:r>
      <w:r>
        <w:rPr/>
        <w:t>detects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obstacle</w:t>
      </w:r>
      <w:r>
        <w:rPr>
          <w:spacing w:val="-11"/>
        </w:rPr>
        <w:t> </w:t>
      </w:r>
      <w:r>
        <w:rPr/>
        <w:t>though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obstacle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present)</w:t>
      </w:r>
      <w:r>
        <w:rPr>
          <w:spacing w:val="-11"/>
        </w:rPr>
        <w:t> </w:t>
      </w:r>
      <w:r>
        <w:rPr/>
        <w:t>needs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be determined.</w:t>
      </w:r>
      <w:r>
        <w:rPr>
          <w:spacing w:val="-6"/>
        </w:rPr>
        <w:t> </w:t>
      </w:r>
      <w:r>
        <w:rPr/>
        <w:t>Moreover,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confidence</w:t>
      </w:r>
      <w:r>
        <w:rPr>
          <w:spacing w:val="-6"/>
        </w:rPr>
        <w:t> </w:t>
      </w:r>
      <w:r>
        <w:rPr/>
        <w:t>value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upper</w:t>
      </w:r>
      <w:r>
        <w:rPr>
          <w:spacing w:val="-6"/>
        </w:rPr>
        <w:t> </w:t>
      </w:r>
      <w:r>
        <w:rPr/>
        <w:t>bound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needed.</w:t>
      </w:r>
    </w:p>
    <w:p>
      <w:pPr>
        <w:pStyle w:val="BodyText"/>
        <w:spacing w:line="230" w:lineRule="auto" w:before="4"/>
        <w:ind w:left="975" w:right="906" w:firstLine="298"/>
      </w:pPr>
      <w:r>
        <w:rPr/>
        <w:t>For determining the residual error probability estimate and its confidence value, we have elaborated an approach consisting of two main tasks.</w:t>
      </w:r>
    </w:p>
    <w:p>
      <w:pPr>
        <w:pStyle w:val="ListParagraph"/>
        <w:numPr>
          <w:ilvl w:val="0"/>
          <w:numId w:val="1"/>
        </w:numPr>
        <w:tabs>
          <w:tab w:pos="1312" w:val="left" w:leader="none"/>
          <w:tab w:pos="1314" w:val="left" w:leader="none"/>
        </w:tabs>
        <w:spacing w:line="230" w:lineRule="auto" w:before="156" w:after="0"/>
        <w:ind w:left="1314" w:right="904" w:hanging="255"/>
        <w:jc w:val="both"/>
        <w:rPr>
          <w:sz w:val="20"/>
        </w:rPr>
      </w:pPr>
      <w:r>
        <w:rPr>
          <w:spacing w:val="-4"/>
          <w:sz w:val="20"/>
        </w:rPr>
        <w:t>Using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methods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mathematical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analysis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inter-layer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transformations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trained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CNN,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determine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finite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equivalence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classes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 image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input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space.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Two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members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class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mapped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CNN 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classification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(connected)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equivalence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classes leading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result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represent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(not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necessarily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connected)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classification </w:t>
      </w:r>
      <w:r>
        <w:rPr>
          <w:sz w:val="20"/>
        </w:rPr>
        <w:t>clusters in the sense of ANSI/UL 4600.</w:t>
      </w:r>
    </w:p>
    <w:p>
      <w:pPr>
        <w:pStyle w:val="ListParagraph"/>
        <w:numPr>
          <w:ilvl w:val="0"/>
          <w:numId w:val="1"/>
        </w:numPr>
        <w:tabs>
          <w:tab w:pos="1312" w:val="left" w:leader="none"/>
          <w:tab w:pos="1314" w:val="left" w:leader="none"/>
        </w:tabs>
        <w:spacing w:line="230" w:lineRule="auto" w:before="2" w:after="0"/>
        <w:ind w:left="1314" w:right="904" w:hanging="255"/>
        <w:jc w:val="both"/>
        <w:rPr>
          <w:sz w:val="20"/>
        </w:rPr>
      </w:pPr>
      <w:r>
        <w:rPr>
          <w:sz w:val="20"/>
        </w:rPr>
        <w:t>A statistical test suite inspired by the Coupon Collector’s Problem and its </w:t>
      </w:r>
      <w:r>
        <w:rPr>
          <w:spacing w:val="-4"/>
          <w:sz w:val="20"/>
        </w:rPr>
        <w:t>solution is used to determine the residual probability for real-world obstacles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associated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equivalence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class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captured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during </w:t>
      </w:r>
      <w:r>
        <w:rPr>
          <w:sz w:val="20"/>
        </w:rPr>
        <w:t>the CNN training phase. If this probability is too high, the CNN needs to be re-trained.</w:t>
      </w:r>
    </w:p>
    <w:p>
      <w:pPr>
        <w:pStyle w:val="BodyText"/>
        <w:spacing w:line="230" w:lineRule="auto" w:before="158"/>
        <w:ind w:left="975" w:right="904" w:firstLine="298"/>
      </w:pPr>
      <w:r>
        <w:rPr>
          <w:spacing w:val="-4"/>
        </w:rPr>
        <w:t>For ensuring stochastic independence between different samples of the statis- </w:t>
      </w:r>
      <w:r>
        <w:rPr/>
        <w:t>tical</w:t>
      </w:r>
      <w:r>
        <w:rPr>
          <w:spacing w:val="-9"/>
        </w:rPr>
        <w:t> </w:t>
      </w:r>
      <w:r>
        <w:rPr/>
        <w:t>test</w:t>
      </w:r>
      <w:r>
        <w:rPr>
          <w:spacing w:val="-9"/>
        </w:rPr>
        <w:t> </w:t>
      </w:r>
      <w:r>
        <w:rPr/>
        <w:t>suite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differently</w:t>
      </w:r>
      <w:r>
        <w:rPr>
          <w:spacing w:val="-9"/>
        </w:rPr>
        <w:t> </w:t>
      </w:r>
      <w:r>
        <w:rPr/>
        <w:t>trained</w:t>
      </w:r>
      <w:r>
        <w:rPr>
          <w:spacing w:val="-9"/>
        </w:rPr>
        <w:t> </w:t>
      </w:r>
      <w:r>
        <w:rPr/>
        <w:t>CNN,</w:t>
      </w:r>
      <w:r>
        <w:rPr>
          <w:spacing w:val="-9"/>
        </w:rPr>
        <w:t> </w:t>
      </w:r>
      <w:r>
        <w:rPr/>
        <w:t>known</w:t>
      </w:r>
      <w:r>
        <w:rPr>
          <w:spacing w:val="-9"/>
        </w:rPr>
        <w:t> </w:t>
      </w:r>
      <w:r>
        <w:rPr/>
        <w:t>solutions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 field of Explainable AI can be effectively applied.</w:t>
      </w:r>
    </w:p>
    <w:p>
      <w:pPr>
        <w:pStyle w:val="BodyText"/>
        <w:spacing w:before="7"/>
        <w:jc w:val="left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1711515</wp:posOffset>
                </wp:positionH>
                <wp:positionV relativeFrom="paragraph">
                  <wp:posOffset>43374</wp:posOffset>
                </wp:positionV>
                <wp:extent cx="72009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764999pt;margin-top:3.415293pt;width:56.7pt;height:.1pt;mso-position-horizontal-relative:page;mso-position-vertical-relative:paragraph;z-index:-15728640;mso-wrap-distance-left:0;mso-wrap-distance-right:0" id="docshape1" coordorigin="2695,68" coordsize="1134,0" path="m2695,68l3829,68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27"/>
        <w:ind w:left="1174" w:right="904" w:hanging="148"/>
        <w:jc w:val="both"/>
        <w:rPr>
          <w:sz w:val="18"/>
        </w:rPr>
      </w:pPr>
      <w:r>
        <w:rPr>
          <w:rFonts w:ascii="Verdana" w:hAnsi="Verdana"/>
          <w:i/>
          <w:sz w:val="18"/>
          <w:vertAlign w:val="superscript"/>
        </w:rPr>
        <w:t>*</w:t>
      </w:r>
      <w:r>
        <w:rPr>
          <w:rFonts w:ascii="Verdana" w:hAnsi="Verdana"/>
          <w:i/>
          <w:sz w:val="18"/>
          <w:vertAlign w:val="baseline"/>
        </w:rPr>
        <w:t> </w:t>
      </w:r>
      <w:r>
        <w:rPr>
          <w:sz w:val="18"/>
          <w:vertAlign w:val="baseline"/>
        </w:rPr>
        <w:t>This presentation is based on joint research by the author and Felix Brüning, Mario Gleirscher, Anne E. Haxthausen, Felix Höfer, and Wen-ling Huang. Felix Brüning, Wen-ling Huang, and Jan Peleska are funded by the German Federal Ministry for Economic Affairs and Climate Action (BMWK), Grant Agreement 20X1908E.</w:t>
      </w:r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4" w:hanging="255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6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4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Book Antiqua" w:hAnsi="Book Antiqua" w:eastAsia="Book Antiqua" w:cs="Book Antiqu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059" w:right="989"/>
      <w:jc w:val="center"/>
    </w:pPr>
    <w:rPr>
      <w:rFonts w:ascii="Book Antiqua" w:hAnsi="Book Antiqua" w:eastAsia="Book Antiqua" w:cs="Book Antiqu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314" w:right="904" w:hanging="255"/>
      <w:jc w:val="both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eleska@uni-bremen.de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2023-10-16T09:33:22Z</dcterms:created>
  <dcterms:modified xsi:type="dcterms:W3CDTF">2023-10-16T09:33:22Z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TeX</vt:lpwstr>
  </property>
  <property fmtid="{D5CDD505-2E9C-101B-9397-08002B2CF9AE}" pid="4" name="LastSaved">
    <vt:filetime>2023-10-16T00:00:00Z</vt:filetime>
  </property>
  <property fmtid="{D5CDD505-2E9C-101B-9397-08002B2CF9AE}" pid="5" name="PTEX.Fullbanner">
    <vt:lpwstr>This is pdfTeX, Version 3.14159265-2.6-1.40.19 (TeX Live 2018) kpathsea version 6.3.0</vt:lpwstr>
  </property>
  <property fmtid="{D5CDD505-2E9C-101B-9397-08002B2CF9AE}" pid="6" name="Producer">
    <vt:lpwstr>pdfTeX-1.40.19</vt:lpwstr>
  </property>
</Properties>
</file>